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23.png" ContentType="image/png"/>
  <Override PartName="/word/media/image1.jpg" ContentType="image/jpeg"/>
  <Override PartName="/word/media/image2.jpg" ContentType="image/jpeg"/>
  <Override PartName="/word/media/image3.jpg" ContentType="image/jpeg"/>
  <Override PartName="/word/media/image4.jpg" ContentType="image/jpeg"/>
  <Override PartName="/word/media/image5.jpg" ContentType="image/jpeg"/>
  <Override PartName="/word/media/image6.jpg" ContentType="image/jpeg"/>
  <Override PartName="/word/media/image7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Quantifying</w:t>
      </w:r>
      <w:r>
        <w:t xml:space="preserve"> </w:t>
      </w:r>
      <w:r>
        <w:t xml:space="preserve">synchrony</w:t>
      </w:r>
      <w:r>
        <w:t xml:space="preserve"> </w:t>
      </w:r>
      <w:r>
        <w:t xml:space="preserve">and</w:t>
      </w:r>
      <w:r>
        <w:t xml:space="preserve"> </w:t>
      </w:r>
      <w:r>
        <w:t xml:space="preserve">variability</w:t>
      </w:r>
      <w:r>
        <w:t xml:space="preserve"> </w:t>
      </w:r>
      <w:r>
        <w:t xml:space="preserve">in</w:t>
      </w:r>
      <w:r>
        <w:t xml:space="preserve"> </w:t>
      </w:r>
      <w:r>
        <w:t xml:space="preserve">source</w:t>
      </w:r>
      <w:r>
        <w:t xml:space="preserve"> </w:t>
      </w:r>
      <w:r>
        <w:t xml:space="preserve">water</w:t>
      </w:r>
      <w:r>
        <w:t xml:space="preserve"> </w:t>
      </w:r>
      <w:r>
        <w:t xml:space="preserve">quality</w:t>
      </w:r>
      <w:r>
        <w:t xml:space="preserve"> </w:t>
      </w:r>
      <w:r>
        <w:t xml:space="preserve">across</w:t>
      </w:r>
      <w:r>
        <w:t xml:space="preserve"> </w:t>
      </w:r>
      <w:r>
        <w:t xml:space="preserve">a</w:t>
      </w:r>
      <w:r>
        <w:t xml:space="preserve"> </w:t>
      </w:r>
      <w:r>
        <w:t xml:space="preserve">relatively</w:t>
      </w:r>
      <w:r>
        <w:t xml:space="preserve"> </w:t>
      </w:r>
      <w:r>
        <w:t xml:space="preserve">undisturbed</w:t>
      </w:r>
      <w:r>
        <w:t xml:space="preserve"> </w:t>
      </w:r>
      <w:r>
        <w:t xml:space="preserve">nested</w:t>
      </w:r>
      <w:r>
        <w:t xml:space="preserve"> </w:t>
      </w:r>
      <w:r>
        <w:t xml:space="preserve">catchment:</w:t>
      </w:r>
      <w:r>
        <w:t xml:space="preserve"> </w:t>
      </w:r>
      <w:r>
        <w:t xml:space="preserve">contibutions</w:t>
      </w:r>
      <w:r>
        <w:t xml:space="preserve"> </w:t>
      </w:r>
      <w:r>
        <w:t xml:space="preserve">to</w:t>
      </w:r>
      <w:r>
        <w:t xml:space="preserve"> </w:t>
      </w:r>
      <w:r>
        <w:t xml:space="preserve">characterizing</w:t>
      </w:r>
      <w:r>
        <w:t xml:space="preserve"> </w:t>
      </w:r>
      <w:r>
        <w:t xml:space="preserve">a</w:t>
      </w:r>
      <w:r>
        <w:t xml:space="preserve"> </w:t>
      </w:r>
      <w:r>
        <w:t xml:space="preserve">protected</w:t>
      </w:r>
      <w:r>
        <w:t xml:space="preserve"> </w:t>
      </w:r>
      <w:r>
        <w:t xml:space="preserve">water</w:t>
      </w:r>
      <w:r>
        <w:t xml:space="preserve"> </w:t>
      </w:r>
      <w:r>
        <w:t xml:space="preserve">supply</w:t>
      </w:r>
      <w:r>
        <w:t xml:space="preserve"> </w:t>
      </w:r>
      <w:r>
        <w:t xml:space="preserve">area</w:t>
      </w:r>
      <w:r>
        <w:t xml:space="preserve"> </w:t>
      </w:r>
      <w:r>
        <w:t xml:space="preserve">to</w:t>
      </w:r>
      <w:r>
        <w:t xml:space="preserve"> </w:t>
      </w:r>
      <w:r>
        <w:t xml:space="preserve">better</w:t>
      </w:r>
      <w:r>
        <w:t xml:space="preserve"> </w:t>
      </w:r>
      <w:r>
        <w:t xml:space="preserve">understand</w:t>
      </w:r>
      <w:r>
        <w:t xml:space="preserve"> </w:t>
      </w:r>
      <w:r>
        <w:t xml:space="preserve">how</w:t>
      </w:r>
      <w:r>
        <w:t xml:space="preserve"> </w:t>
      </w:r>
      <w:r>
        <w:t xml:space="preserve">forest</w:t>
      </w:r>
      <w:r>
        <w:t xml:space="preserve"> </w:t>
      </w:r>
      <w:r>
        <w:t xml:space="preserve">management</w:t>
      </w:r>
      <w:r>
        <w:t xml:space="preserve"> </w:t>
      </w:r>
      <w:r>
        <w:t xml:space="preserve">strategies</w:t>
      </w:r>
      <w:r>
        <w:t xml:space="preserve"> </w:t>
      </w:r>
      <w:r>
        <w:t xml:space="preserve">influence</w:t>
      </w:r>
      <w:r>
        <w:t xml:space="preserve"> </w:t>
      </w:r>
      <w:r>
        <w:t xml:space="preserve">drinking</w:t>
      </w:r>
      <w:r>
        <w:t xml:space="preserve"> </w:t>
      </w:r>
      <w:r>
        <w:t xml:space="preserve">water</w:t>
      </w:r>
      <w:r>
        <w:t xml:space="preserve"> </w:t>
      </w:r>
      <w:r>
        <w:t xml:space="preserve">treatability</w:t>
      </w:r>
      <w:r>
        <w:t xml:space="preserve"> </w:t>
      </w:r>
      <w:r>
        <w:t xml:space="preserve">and</w:t>
      </w:r>
      <w:r>
        <w:t xml:space="preserve"> </w:t>
      </w:r>
      <w:r>
        <w:t xml:space="preserve">outcomes</w:t>
      </w:r>
    </w:p>
    <w:p>
      <w:pPr>
        <w:pStyle w:val="Author"/>
      </w:pPr>
      <w:r>
        <w:t xml:space="preserve">Hannah</w:t>
      </w:r>
      <w:r>
        <w:t xml:space="preserve"> </w:t>
      </w:r>
      <w:r>
        <w:t xml:space="preserve">J.</w:t>
      </w:r>
      <w:r>
        <w:t xml:space="preserve"> </w:t>
      </w:r>
      <w:r>
        <w:t xml:space="preserve">McSorley</w:t>
      </w:r>
    </w:p>
    <w:p>
      <w:pPr>
        <w:pStyle w:val="Date"/>
      </w:pPr>
      <w:r>
        <w:t xml:space="preserve">April</w:t>
      </w:r>
      <w:r>
        <w:t xml:space="preserve"> </w:t>
      </w:r>
      <w:r>
        <w:t xml:space="preserve">2020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preface"/>
      <w:r>
        <w:t xml:space="preserve">Preface</w:t>
      </w:r>
      <w:bookmarkEnd w:id="20"/>
    </w:p>
    <w:p>
      <w:pPr>
        <w:pStyle w:val="FirstParagraph"/>
      </w:pPr>
      <w:r>
        <w:t xml:space="preserve">In this book, we will introduce an interesting</w:t>
      </w:r>
      <w:r>
        <w:t xml:space="preserve"> </w:t>
      </w:r>
      <w:r>
        <w:t xml:space="preserve">method.</w:t>
      </w:r>
    </w:p>
    <w:p>
      <w:pPr>
        <w:pStyle w:val="Heading1"/>
      </w:pPr>
      <w:bookmarkStart w:id="21" w:name="introduction"/>
      <w:r>
        <w:t xml:space="preserve">Introduction</w:t>
      </w:r>
      <w:bookmarkEnd w:id="21"/>
    </w:p>
    <w:p>
      <w:pPr>
        <w:pStyle w:val="FirstParagraph"/>
      </w:pPr>
      <w:r>
        <w:t xml:space="preserve">Here is the introduction to this thesis. I will do several things. It is heavily based on previous seminal work on penguins</w:t>
      </w:r>
      <w:r>
        <w:t xml:space="preserve"> </w:t>
      </w:r>
      <w:r>
        <w:t xml:space="preserve">(Health Canada</w:t>
      </w:r>
      <w:r>
        <w:t xml:space="preserve"> </w:t>
      </w:r>
      <w:hyperlink w:anchor="ref-HealthCanada2019">
        <w:r>
          <w:rPr>
            <w:rStyle w:val="Hyperlink"/>
          </w:rPr>
          <w:t xml:space="preserve">2019</w:t>
        </w:r>
      </w:hyperlink>
      <w:r>
        <w:t xml:space="preserve">)</w:t>
      </w:r>
      <w:r>
        <w:t xml:space="preserve">.</w:t>
      </w:r>
    </w:p>
    <w:p>
      <w:pPr>
        <w:pStyle w:val="Heading1"/>
      </w:pPr>
      <w:bookmarkStart w:id="22" w:name="first-chapter-of-research"/>
      <w:r>
        <w:t xml:space="preserve">First Chapter of Research</w:t>
      </w:r>
      <w:bookmarkEnd w:id="22"/>
    </w:p>
    <w:p>
      <w:pPr>
        <w:pStyle w:val="FirstParagraph"/>
      </w:pPr>
      <w:r>
        <w:t xml:space="preserve">Here is a research chapter. Look a graph in Figure</w:t>
      </w:r>
      <w:r>
        <w:t xml:space="preserve"> </w:t>
      </w:r>
      <w:r>
        <w:t xml:space="preserve">1</w:t>
      </w:r>
      <w:r>
        <w:t xml:space="preserve">.</w:t>
      </w:r>
    </w:p>
    <w:p>
      <w:pPr>
        <w:pStyle w:val="CaptionedFigure"/>
      </w:pPr>
      <w:r>
        <w:drawing>
          <wp:inline>
            <wp:extent cx="5943600" cy="5943600"/>
            <wp:effectExtent b="0" l="0" r="0" t="0"/>
            <wp:docPr descr="Figure 1: Here is a figure caption." title="" id="1" name="Picture"/>
            <a:graphic>
              <a:graphicData uri="http://schemas.openxmlformats.org/drawingml/2006/picture">
                <pic:pic>
                  <pic:nvPicPr>
                    <pic:cNvPr descr="HMc-thesis_files/figure-docx/myfigur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Here is a figure caption.</w:t>
      </w:r>
    </w:p>
    <w:p>
      <w:pPr>
        <w:pStyle w:val="BodyText"/>
      </w:pPr>
      <w:r>
        <w:t xml:space="preserve">Also check out the associated data in Table</w:t>
      </w:r>
      <w:r>
        <w:t xml:space="preserve"> </w:t>
      </w:r>
      <w:r>
        <w:t xml:space="preserve">1</w:t>
      </w:r>
      <w:r>
        <w:t xml:space="preserve">.</w:t>
      </w:r>
    </w:p>
    <w:p>
      <w:pPr>
        <w:pStyle w:val="TableCaption"/>
      </w:pPr>
      <w:r>
        <w:t xml:space="preserve">Table 1: The randomly generated data used for this research.</w:t>
      </w:r>
    </w:p>
    <w:tbl>
      <w:tblPr>
        <w:tblStyle w:val="Table"/>
        <w:tblW w:type="pct" w:w="0.0"/>
        <w:tblLook w:firstRow="1"/>
        <w:tblCaption w:val="Table 1: The randomly generated data used for this research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y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0.6611629</w:t>
            </w:r>
          </w:p>
        </w:tc>
        <w:tc>
          <w:p>
            <w:pPr>
              <w:pStyle w:val="Compact"/>
              <w:jc w:val="right"/>
            </w:pPr>
            <w:r>
              <w:t xml:space="preserve">0.6871721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0.7077070</w:t>
            </w:r>
          </w:p>
        </w:tc>
        <w:tc>
          <w:p>
            <w:pPr>
              <w:pStyle w:val="Compact"/>
              <w:jc w:val="right"/>
            </w:pPr>
            <w:r>
              <w:t xml:space="preserve">0.3299362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0.0367015</w:t>
            </w:r>
          </w:p>
        </w:tc>
        <w:tc>
          <w:p>
            <w:pPr>
              <w:pStyle w:val="Compact"/>
              <w:jc w:val="right"/>
            </w:pPr>
            <w:r>
              <w:t xml:space="preserve">0.2050604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0.7063136</w:t>
            </w:r>
          </w:p>
        </w:tc>
        <w:tc>
          <w:p>
            <w:pPr>
              <w:pStyle w:val="Compact"/>
              <w:jc w:val="right"/>
            </w:pPr>
            <w:r>
              <w:t xml:space="preserve">0.0807440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0.3926384</w:t>
            </w:r>
          </w:p>
        </w:tc>
        <w:tc>
          <w:p>
            <w:pPr>
              <w:pStyle w:val="Compact"/>
              <w:jc w:val="right"/>
            </w:pPr>
            <w:r>
              <w:t xml:space="preserve">0.1620240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0.3426554</w:t>
            </w:r>
          </w:p>
        </w:tc>
        <w:tc>
          <w:p>
            <w:pPr>
              <w:pStyle w:val="Compact"/>
              <w:jc w:val="right"/>
            </w:pPr>
            <w:r>
              <w:t xml:space="preserve">0.9864994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0.5525553</w:t>
            </w:r>
          </w:p>
        </w:tc>
        <w:tc>
          <w:p>
            <w:pPr>
              <w:pStyle w:val="Compact"/>
              <w:jc w:val="right"/>
            </w:pPr>
            <w:r>
              <w:t xml:space="preserve">0.8860584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0.8913981</w:t>
            </w:r>
          </w:p>
        </w:tc>
        <w:tc>
          <w:p>
            <w:pPr>
              <w:pStyle w:val="Compact"/>
              <w:jc w:val="right"/>
            </w:pPr>
            <w:r>
              <w:t xml:space="preserve">0.4352978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0.4359793</w:t>
            </w:r>
          </w:p>
        </w:tc>
        <w:tc>
          <w:p>
            <w:pPr>
              <w:pStyle w:val="Compact"/>
              <w:jc w:val="right"/>
            </w:pPr>
            <w:r>
              <w:t xml:space="preserve">0.2042507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0.5273453</w:t>
            </w:r>
          </w:p>
        </w:tc>
        <w:tc>
          <w:p>
            <w:pPr>
              <w:pStyle w:val="Compact"/>
              <w:jc w:val="right"/>
            </w:pPr>
            <w:r>
              <w:t xml:space="preserve">0.3907263</w:t>
            </w:r>
          </w:p>
        </w:tc>
      </w:tr>
    </w:tbl>
    <w:p>
      <w:pPr>
        <w:pStyle w:val="Heading1"/>
      </w:pPr>
      <w:bookmarkStart w:id="24" w:name="conclusions"/>
      <w:r>
        <w:t xml:space="preserve">Conclusions</w:t>
      </w:r>
      <w:bookmarkEnd w:id="24"/>
    </w:p>
    <w:p>
      <w:pPr>
        <w:pStyle w:val="FirstParagraph"/>
      </w:pPr>
      <w:r>
        <w:t xml:space="preserve">I did several things and will now discuss why they are good.</w:t>
      </w:r>
    </w:p>
    <w:bookmarkStart w:id="27" w:name="refs"/>
    <w:bookmarkStart w:id="26" w:name="ref-HealthCanada2019"/>
    <w:p>
      <w:pPr>
        <w:pStyle w:val="Bibliography"/>
      </w:pPr>
      <w:r>
        <w:t xml:space="preserve">Health Canada. 2019. “Guidance on Natural Organic Matter in Drinking Water.”</w:t>
      </w:r>
      <w:r>
        <w:t xml:space="preserve"> </w:t>
      </w:r>
      <w:hyperlink r:id="rId25">
        <w:r>
          <w:rPr>
            <w:rStyle w:val="Hyperlink"/>
          </w:rPr>
          <w:t xml:space="preserve">https://www.canada.ca/content/dam/hc-sc/documents/programs/consultation-organic-matter-drinking-water/NOM20190129-eng.pdf</w:t>
        </w:r>
      </w:hyperlink>
      <w:r>
        <w:t xml:space="preserve">.</w:t>
      </w:r>
    </w:p>
    <w:bookmarkEnd w:id="26"/>
    <w:bookmarkEnd w:id="27"/>
    <w:sectPr w:rsidR="00A319E1" w:rsidRPr="00D3712C" w:rsidSect="00CC27DB">
      <w:footerReference w:type="default" r:id="rId9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7244046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C27DB" w:rsidRDefault="00D6264D" w:rsidP="000E25D6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C27DB" w:rsidRDefault="000E25D6" w:rsidP="000E25D6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0B7250D"/>
    <w:multiLevelType w:val="multilevel"/>
    <w:tmpl w:val="4E5C97D8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HAnsi"/>
        <w:sz w:val="24"/>
        <w:szCs w:val="24"/>
        <w:lang w:val="en-CA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E25D6"/>
    <w:pPr>
      <w:spacing w:before="240"/>
    </w:pPr>
    <w:rPr>
      <w:rFonts w:ascii="Ebrima" w:hAnsi="Ebrim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27DB"/>
    <w:pPr>
      <w:keepNext/>
      <w:keepLines/>
      <w:pageBreakBefore/>
      <w:pBdr>
        <w:bottom w:val="single" w:sz="4" w:space="1" w:color="595959" w:themeColor="text1" w:themeTint="A6"/>
      </w:pBdr>
      <w:spacing w:after="240"/>
      <w:outlineLvl w:val="0"/>
    </w:pPr>
    <w:rPr>
      <w:rFonts w:ascii="Segoe UI Semibold" w:eastAsiaTheme="majorEastAsia" w:hAnsi="Segoe UI Semibold" w:cs="Segoe UI Semibold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7DB"/>
    <w:pPr>
      <w:keepNext/>
      <w:keepLines/>
      <w:spacing w:after="240"/>
      <w:outlineLvl w:val="1"/>
    </w:pPr>
    <w:rPr>
      <w:rFonts w:ascii="Segoe UI Semibold" w:eastAsiaTheme="majorEastAsia" w:hAnsi="Segoe UI Semibold" w:cs="Segoe UI Semibol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27DB"/>
    <w:pPr>
      <w:keepNext/>
      <w:keepLines/>
      <w:spacing w:before="40" w:after="240"/>
      <w:outlineLvl w:val="2"/>
    </w:pPr>
    <w:rPr>
      <w:rFonts w:ascii="Segoe UI" w:eastAsiaTheme="majorEastAsia" w:hAnsi="Segoe UI" w:cs="Segoe U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4D37"/>
    <w:pPr>
      <w:keepNext/>
      <w:keepLines/>
      <w:outlineLvl w:val="3"/>
    </w:pPr>
    <w:rPr>
      <w:rFonts w:ascii="Segoe UI" w:eastAsiaTheme="majorEastAsia" w:hAnsi="Segoe UI" w:cs="Segoe UI"/>
      <w:b/>
      <w:i/>
      <w:iCs/>
      <w:szCs w:val="28"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7E4872"/>
    <w:pPr>
      <w:outlineLvl w:val="4"/>
    </w:pPr>
    <w:rPr>
      <w:rFonts w:ascii="Segoe UI Semibold" w:hAnsi="Segoe UI Semibold" w:cs="Segoe UI Semibold"/>
      <w:b w:val="0"/>
      <w:i w:val="0"/>
      <w:szCs w:val="24"/>
      <w:u w:val="single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E4872"/>
    <w:pPr>
      <w:outlineLvl w:val="5"/>
    </w:pPr>
    <w:rPr>
      <w:rFonts w:ascii="Segoe UI Semibold" w:hAnsi="Segoe UI Semibold" w:cs="Segoe UI Semibol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C27DB"/>
    <w:pPr>
      <w:spacing w:before="2040" w:after="480" w:line="240" w:lineRule="auto"/>
      <w:contextualSpacing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27DB"/>
    <w:rPr>
      <w:rFonts w:ascii="Ebrima" w:eastAsiaTheme="majorEastAsia" w:hAnsi="Ebrima" w:cstheme="majorBidi"/>
      <w:spacing w:val="-10"/>
      <w:kern w:val="28"/>
      <w:sz w:val="4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27DB"/>
    <w:pPr>
      <w:numPr>
        <w:ilvl w:val="1"/>
      </w:numPr>
      <w:spacing w:after="960"/>
    </w:pPr>
    <w:rPr>
      <w:rFonts w:eastAsiaTheme="minorEastAsia" w:cstheme="minorBidi"/>
      <w:color w:val="5A5A5A" w:themeColor="text1" w:themeTint="A5"/>
      <w:spacing w:val="15"/>
      <w:sz w:val="28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C27DB"/>
    <w:rPr>
      <w:rFonts w:ascii="Ebrima" w:eastAsiaTheme="minorEastAsia" w:hAnsi="Ebrima" w:cstheme="minorBidi"/>
      <w:color w:val="5A5A5A" w:themeColor="text1" w:themeTint="A5"/>
      <w:spacing w:val="15"/>
      <w:sz w:val="28"/>
      <w:szCs w:val="22"/>
    </w:rPr>
  </w:style>
  <w:style w:type="paragraph" w:styleId="Quote">
    <w:name w:val="Quote"/>
    <w:basedOn w:val="IntenseQuote"/>
    <w:next w:val="Normal"/>
    <w:link w:val="QuoteChar"/>
    <w:uiPriority w:val="29"/>
    <w:qFormat/>
    <w:rsid w:val="0068354C"/>
  </w:style>
  <w:style w:type="character" w:customStyle="1" w:styleId="QuoteChar">
    <w:name w:val="Quote Char"/>
    <w:basedOn w:val="DefaultParagraphFont"/>
    <w:link w:val="Quote"/>
    <w:uiPriority w:val="29"/>
    <w:rsid w:val="0068354C"/>
    <w:rPr>
      <w:rFonts w:ascii="Ebrima" w:hAnsi="Ebrima"/>
      <w:i/>
      <w:iCs/>
      <w:color w:val="0D0D0D" w:themeColor="text1" w:themeTint="F2"/>
    </w:rPr>
  </w:style>
  <w:style w:type="character" w:customStyle="1" w:styleId="Heading1Char">
    <w:name w:val="Heading 1 Char"/>
    <w:basedOn w:val="DefaultParagraphFont"/>
    <w:link w:val="Heading1"/>
    <w:uiPriority w:val="9"/>
    <w:rsid w:val="00CC27DB"/>
    <w:rPr>
      <w:rFonts w:ascii="Segoe UI Semibold" w:eastAsiaTheme="majorEastAsia" w:hAnsi="Segoe UI Semibold" w:cs="Segoe UI Semibold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C27DB"/>
    <w:rPr>
      <w:rFonts w:ascii="Segoe UI Semibold" w:eastAsiaTheme="majorEastAsia" w:hAnsi="Segoe UI Semibold" w:cs="Segoe UI Semibol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C27DB"/>
    <w:rPr>
      <w:rFonts w:ascii="Segoe UI" w:eastAsiaTheme="majorEastAsia" w:hAnsi="Segoe UI" w:cs="Segoe UI"/>
      <w:b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F4D37"/>
    <w:rPr>
      <w:rFonts w:ascii="Segoe UI" w:eastAsiaTheme="majorEastAsia" w:hAnsi="Segoe UI" w:cs="Segoe UI"/>
      <w:b/>
      <w:i/>
      <w:iCs/>
      <w:szCs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3815"/>
    <w:pPr>
      <w:pBdr>
        <w:top w:val="single" w:sz="4" w:space="10" w:color="595959" w:themeColor="text1" w:themeTint="A6"/>
        <w:bottom w:val="single" w:sz="4" w:space="10" w:color="595959" w:themeColor="text1" w:themeTint="A6"/>
      </w:pBdr>
      <w:spacing w:before="360" w:after="360"/>
      <w:ind w:left="864" w:right="864"/>
      <w:jc w:val="center"/>
    </w:pPr>
    <w:rPr>
      <w:i/>
      <w:iCs/>
      <w:color w:val="0D0D0D" w:themeColor="text1" w:themeTint="F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3815"/>
    <w:rPr>
      <w:rFonts w:ascii="Ebrima" w:hAnsi="Ebrima"/>
      <w:i/>
      <w:iCs/>
      <w:color w:val="0D0D0D" w:themeColor="text1" w:themeTint="F2"/>
    </w:rPr>
  </w:style>
  <w:style w:type="character" w:customStyle="1" w:styleId="Heading5Char">
    <w:name w:val="Heading 5 Char"/>
    <w:basedOn w:val="DefaultParagraphFont"/>
    <w:link w:val="Heading5"/>
    <w:uiPriority w:val="9"/>
    <w:rsid w:val="007E4872"/>
    <w:rPr>
      <w:rFonts w:ascii="Segoe UI Semibold" w:eastAsiaTheme="majorEastAsia" w:hAnsi="Segoe UI Semibold" w:cs="Segoe UI Semibold"/>
      <w:iCs/>
      <w:u w:val="single"/>
    </w:rPr>
  </w:style>
  <w:style w:type="paragraph" w:styleId="Header">
    <w:name w:val="header"/>
    <w:basedOn w:val="Normal"/>
    <w:link w:val="HeaderChar"/>
    <w:uiPriority w:val="99"/>
    <w:unhideWhenUsed/>
    <w:rsid w:val="003F437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4372"/>
    <w:rPr>
      <w:rFonts w:ascii="Ebrima" w:hAnsi="Ebrima"/>
    </w:rPr>
  </w:style>
  <w:style w:type="paragraph" w:styleId="Footer">
    <w:name w:val="footer"/>
    <w:basedOn w:val="Normal"/>
    <w:link w:val="FooterChar"/>
    <w:uiPriority w:val="99"/>
    <w:unhideWhenUsed/>
    <w:rsid w:val="003F437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4372"/>
    <w:rPr>
      <w:rFonts w:ascii="Ebrima" w:hAnsi="Ebrima"/>
    </w:rPr>
  </w:style>
  <w:style w:type="character" w:customStyle="1" w:styleId="Heading6Char">
    <w:name w:val="Heading 6 Char"/>
    <w:basedOn w:val="DefaultParagraphFont"/>
    <w:link w:val="Heading6"/>
    <w:uiPriority w:val="9"/>
    <w:rsid w:val="007E4872"/>
    <w:rPr>
      <w:rFonts w:ascii="Segoe UI Semibold" w:hAnsi="Segoe UI Semibold" w:cs="Segoe UI Semibold"/>
    </w:rPr>
  </w:style>
  <w:style w:type="paragraph" w:styleId="TOC1">
    <w:name w:val="toc 1"/>
    <w:basedOn w:val="Normal"/>
    <w:next w:val="Normal"/>
    <w:autoRedefine/>
    <w:uiPriority w:val="39"/>
    <w:unhideWhenUsed/>
    <w:rsid w:val="00CC27DB"/>
    <w:pPr>
      <w:tabs>
        <w:tab w:val="right" w:leader="dot" w:pos="9350"/>
      </w:tabs>
      <w:spacing w:before="360"/>
    </w:pPr>
    <w:rPr>
      <w:rFonts w:ascii="Segoe UI" w:hAnsi="Segoe UI" w:cs="Segoe UI"/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CC27DB"/>
    <w:pPr>
      <w:tabs>
        <w:tab w:val="right" w:leader="dot" w:pos="9350"/>
      </w:tabs>
    </w:pPr>
    <w:rPr>
      <w:rFonts w:ascii="Segoe UI" w:hAnsi="Segoe UI" w:cs="Segoe UI"/>
      <w:b/>
      <w:bCs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C27DB"/>
    <w:pPr>
      <w:tabs>
        <w:tab w:val="right" w:leader="dot" w:pos="9350"/>
      </w:tabs>
      <w:ind w:left="240"/>
    </w:pPr>
    <w:rPr>
      <w:rFonts w:ascii="Segoe UI" w:hAnsi="Segoe UI" w:cs="Segoe UI"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7188"/>
    <w:pPr>
      <w:ind w:left="48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7188"/>
    <w:pPr>
      <w:ind w:left="7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7188"/>
    <w:pPr>
      <w:ind w:left="96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7188"/>
    <w:pPr>
      <w:ind w:left="120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7188"/>
    <w:pPr>
      <w:ind w:left="14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7188"/>
    <w:pPr>
      <w:ind w:left="168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E7188"/>
    <w:rPr>
      <w:color w:val="0563C1" w:themeColor="hyperlink"/>
      <w:u w:val="single"/>
    </w:rPr>
  </w:style>
  <w:style w:type="paragraph" w:customStyle="1" w:styleId="SourceCode">
    <w:name w:val="Source Code"/>
    <w:basedOn w:val="Normal"/>
    <w:pPr>
      <w:shd w:val="clear" w:color="auto" w:fill="F8F8F8"/>
      <w:wordWrap w:val="0"/>
    </w:pPr>
  </w:style>
  <w:style w:type="character" w:customStyle="1" w:styleId="KeywordTok">
    <w:name w:val="KeywordTok"/>
    <w:rPr>
      <w:b/>
      <w:color w:val="204A87"/>
      <w:shd w:val="clear" w:color="auto" w:fill="F8F8F8"/>
    </w:rPr>
  </w:style>
  <w:style w:type="character" w:customStyle="1" w:styleId="DataTypeTok">
    <w:name w:val="DataTypeTok"/>
    <w:rPr>
      <w:color w:val="204A87"/>
      <w:shd w:val="clear" w:color="auto" w:fill="F8F8F8"/>
    </w:rPr>
  </w:style>
  <w:style w:type="character" w:customStyle="1" w:styleId="DecValTok">
    <w:name w:val="DecValTok"/>
    <w:rPr>
      <w:color w:val="0000CF"/>
      <w:shd w:val="clear" w:color="auto" w:fill="F8F8F8"/>
    </w:rPr>
  </w:style>
  <w:style w:type="character" w:customStyle="1" w:styleId="BaseNTok">
    <w:name w:val="BaseNTok"/>
    <w:rPr>
      <w:color w:val="0000CF"/>
      <w:shd w:val="clear" w:color="auto" w:fill="F8F8F8"/>
    </w:rPr>
  </w:style>
  <w:style w:type="character" w:customStyle="1" w:styleId="FloatTok">
    <w:name w:val="FloatTok"/>
    <w:rPr>
      <w:color w:val="0000CF"/>
      <w:shd w:val="clear" w:color="auto" w:fill="F8F8F8"/>
    </w:rPr>
  </w:style>
  <w:style w:type="character" w:customStyle="1" w:styleId="ConstantTok">
    <w:name w:val="ConstantTok"/>
    <w:rPr>
      <w:color w:val="000000"/>
      <w:shd w:val="clear" w:color="auto" w:fill="F8F8F8"/>
    </w:rPr>
  </w:style>
  <w:style w:type="character" w:customStyle="1" w:styleId="CharTok">
    <w:name w:val="CharTok"/>
    <w:rPr>
      <w:color w:val="4E9A06"/>
      <w:shd w:val="clear" w:color="auto" w:fill="F8F8F8"/>
    </w:rPr>
  </w:style>
  <w:style w:type="character" w:customStyle="1" w:styleId="SpecialCharTok">
    <w:name w:val="SpecialCharTok"/>
    <w:rPr>
      <w:color w:val="000000"/>
      <w:shd w:val="clear" w:color="auto" w:fill="F8F8F8"/>
    </w:rPr>
  </w:style>
  <w:style w:type="character" w:customStyle="1" w:styleId="StringTok">
    <w:name w:val="StringTok"/>
    <w:rPr>
      <w:color w:val="4E9A06"/>
      <w:shd w:val="clear" w:color="auto" w:fill="F8F8F8"/>
    </w:rPr>
  </w:style>
  <w:style w:type="character" w:customStyle="1" w:styleId="VerbatimStringTok">
    <w:name w:val="VerbatimStringTok"/>
    <w:rPr>
      <w:color w:val="4E9A06"/>
      <w:shd w:val="clear" w:color="auto" w:fill="F8F8F8"/>
    </w:rPr>
  </w:style>
  <w:style w:type="character" w:customStyle="1" w:styleId="SpecialStringTok">
    <w:name w:val="SpecialStringTok"/>
    <w:rPr>
      <w:color w:val="4E9A06"/>
      <w:shd w:val="clear" w:color="auto" w:fill="F8F8F8"/>
    </w:rPr>
  </w:style>
  <w:style w:type="character" w:customStyle="1" w:styleId="ImportTok">
    <w:name w:val="ImportTok"/>
    <w:rPr>
      <w:shd w:val="clear" w:color="auto" w:fill="F8F8F8"/>
    </w:rPr>
  </w:style>
  <w:style w:type="character" w:customStyle="1" w:styleId="CommentTok">
    <w:name w:val="CommentTok"/>
    <w:rPr>
      <w:i/>
      <w:color w:val="8F5902"/>
      <w:shd w:val="clear" w:color="auto" w:fill="F8F8F8"/>
    </w:rPr>
  </w:style>
  <w:style w:type="character" w:customStyle="1" w:styleId="DocumentationTok">
    <w:name w:val="DocumentationTok"/>
    <w:rPr>
      <w:b/>
      <w:i/>
      <w:color w:val="8F5902"/>
      <w:shd w:val="clear" w:color="auto" w:fill="F8F8F8"/>
    </w:rPr>
  </w:style>
  <w:style w:type="character" w:customStyle="1" w:styleId="AnnotationTok">
    <w:name w:val="AnnotationTok"/>
    <w:rPr>
      <w:b/>
      <w:i/>
      <w:color w:val="8F5902"/>
      <w:shd w:val="clear" w:color="auto" w:fill="F8F8F8"/>
    </w:rPr>
  </w:style>
  <w:style w:type="character" w:customStyle="1" w:styleId="CommentVarTok">
    <w:name w:val="CommentVarTok"/>
    <w:rPr>
      <w:b/>
      <w:i/>
      <w:color w:val="8F5902"/>
      <w:shd w:val="clear" w:color="auto" w:fill="F8F8F8"/>
    </w:rPr>
  </w:style>
  <w:style w:type="character" w:customStyle="1" w:styleId="OtherTok">
    <w:name w:val="OtherTok"/>
    <w:rPr>
      <w:color w:val="8F5902"/>
      <w:shd w:val="clear" w:color="auto" w:fill="F8F8F8"/>
    </w:rPr>
  </w:style>
  <w:style w:type="character" w:customStyle="1" w:styleId="FunctionTok">
    <w:name w:val="FunctionTok"/>
    <w:rPr>
      <w:color w:val="000000"/>
      <w:shd w:val="clear" w:color="auto" w:fill="F8F8F8"/>
    </w:rPr>
  </w:style>
  <w:style w:type="character" w:customStyle="1" w:styleId="VariableTok">
    <w:name w:val="VariableTok"/>
    <w:rPr>
      <w:color w:val="000000"/>
      <w:shd w:val="clear" w:color="auto" w:fill="F8F8F8"/>
    </w:rPr>
  </w:style>
  <w:style w:type="character" w:customStyle="1" w:styleId="ControlFlowTok">
    <w:name w:val="ControlFlowTok"/>
    <w:rPr>
      <w:b/>
      <w:color w:val="204A87"/>
      <w:shd w:val="clear" w:color="auto" w:fill="F8F8F8"/>
    </w:rPr>
  </w:style>
  <w:style w:type="character" w:customStyle="1" w:styleId="OperatorTok">
    <w:name w:val="OperatorTok"/>
    <w:rPr>
      <w:b/>
      <w:color w:val="CE5C00"/>
      <w:shd w:val="clear" w:color="auto" w:fill="F8F8F8"/>
    </w:rPr>
  </w:style>
  <w:style w:type="character" w:customStyle="1" w:styleId="BuiltInTok">
    <w:name w:val="BuiltInTok"/>
    <w:rPr>
      <w:shd w:val="clear" w:color="auto" w:fill="F8F8F8"/>
    </w:rPr>
  </w:style>
  <w:style w:type="character" w:customStyle="1" w:styleId="ExtensionTok">
    <w:name w:val="ExtensionTok"/>
    <w:rPr>
      <w:shd w:val="clear" w:color="auto" w:fill="F8F8F8"/>
    </w:rPr>
  </w:style>
  <w:style w:type="character" w:customStyle="1" w:styleId="PreprocessorTok">
    <w:name w:val="PreprocessorTok"/>
    <w:rPr>
      <w:i/>
      <w:color w:val="8F5902"/>
      <w:shd w:val="clear" w:color="auto" w:fill="F8F8F8"/>
    </w:rPr>
  </w:style>
  <w:style w:type="character" w:customStyle="1" w:styleId="AttributeTok">
    <w:name w:val="AttributeTok"/>
    <w:rPr>
      <w:color w:val="C4A000"/>
      <w:shd w:val="clear" w:color="auto" w:fill="F8F8F8"/>
    </w:rPr>
  </w:style>
  <w:style w:type="character" w:customStyle="1" w:styleId="RegionMarkerTok">
    <w:name w:val="RegionMarkerTok"/>
    <w:rPr>
      <w:shd w:val="clear" w:color="auto" w:fill="F8F8F8"/>
    </w:rPr>
  </w:style>
  <w:style w:type="character" w:customStyle="1" w:styleId="InformationTok">
    <w:name w:val="InformationTok"/>
    <w:rPr>
      <w:b/>
      <w:i/>
      <w:color w:val="8F5902"/>
      <w:shd w:val="clear" w:color="auto" w:fill="F8F8F8"/>
    </w:rPr>
  </w:style>
  <w:style w:type="character" w:customStyle="1" w:styleId="WarningTok">
    <w:name w:val="WarningTok"/>
    <w:rPr>
      <w:b/>
      <w:i/>
      <w:color w:val="8F5902"/>
      <w:shd w:val="clear" w:color="auto" w:fill="F8F8F8"/>
    </w:rPr>
  </w:style>
  <w:style w:type="character" w:customStyle="1" w:styleId="AlertTok">
    <w:name w:val="AlertTok"/>
    <w:rPr>
      <w:color w:val="EF2929"/>
      <w:shd w:val="clear" w:color="auto" w:fill="F8F8F8"/>
    </w:rPr>
  </w:style>
  <w:style w:type="character" w:customStyle="1" w:styleId="ErrorTok">
    <w:name w:val="ErrorTok"/>
    <w:rPr>
      <w:b/>
      <w:color w:val="A40000"/>
      <w:shd w:val="clear" w:color="auto" w:fill="F8F8F8"/>
    </w:rPr>
  </w:style>
  <w:style w:type="character" w:customStyle="1" w:styleId="NormalTok">
    <w:name w:val="NormalTok"/>
    <w:rPr>
      <w:shd w:val="clear" w:color="auto" w:fill="F8F8F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457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4575"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D3712C"/>
    <w:pPr>
      <w:ind w:left="720" w:hanging="720"/>
    </w:pPr>
    <w:rPr>
      <w:noProof/>
    </w:rPr>
  </w:style>
  <w:style w:type="character" w:styleId="SubtleEmphasis">
    <w:name w:val="Subtle Emphasis"/>
    <w:basedOn w:val="DefaultParagraphFont"/>
    <w:uiPriority w:val="19"/>
    <w:qFormat/>
    <w:rsid w:val="00CC27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25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23" Target="media/rId23.png" /><Relationship Type="http://schemas.openxmlformats.org/officeDocument/2006/relationships/hyperlink" Id="rId25" Target="https://www.canada.ca/content/dam/hc-sc/documents/programs/consultation-organic-matter-drinking-water/NOM20190129-eng.pdf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5" Target="https://www.canada.ca/content/dam/hc-sc/documents/programs/consultation-organic-matter-drinking-water/NOM20190129-eng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4165</Words>
  <Characters>23744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profiling hydrochemical dynamics in a rain-dominated water supply area: characterizing the Leech watershed using passive sampling techniques</vt:lpstr>
    </vt:vector>
  </TitlesOfParts>
  <Company/>
  <LinksUpToDate>false</LinksUpToDate>
  <CharactersWithSpaces>27854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Quantifying synchrony and variability in source water quality across a relatively undisturbed nested catchment: contibutions to characterizing a protected water supply area to better understand how forest management strategies influence drinking water treatability and outcomes</dc:title>
  <dc:creator>Hannah J. McSorley</dc:creator>
  <cp:keywords/>
  <dcterms:created xsi:type="dcterms:W3CDTF">2020-02-12T06:56:01Z</dcterms:created>
  <dcterms:modified xsi:type="dcterms:W3CDTF">2020-02-12T06:56:01Z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library.bib</vt:lpwstr>
  </property>
  <property fmtid="{D5CDD505-2E9C-101B-9397-08002B2CF9AE}" pid="3" name="date">
    <vt:lpwstr>April 2020</vt:lpwstr>
  </property>
  <property fmtid="{D5CDD505-2E9C-101B-9397-08002B2CF9AE}" pid="4" name="link-citations">
    <vt:lpwstr>yes</vt:lpwstr>
  </property>
  <property fmtid="{D5CDD505-2E9C-101B-9397-08002B2CF9AE}" pid="5" name="output">
    <vt:lpwstr/>
  </property>
  <property fmtid="{D5CDD505-2E9C-101B-9397-08002B2CF9AE}" pid="6" name="site">
    <vt:lpwstr>bookdown::bookdown_site</vt:lpwstr>
  </property>
</Properties>
</file>